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Приложение 1.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62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Порядок и форма подачи заявок.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shd w:val="clear" w:color="ffffff" w:fill="ffffff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Один участник может подать несколько заявок с разными темами докладов, в том числе по одному научному направлению. При определении победителей конференции такие доклады рассматриваются как независимые.</w:t>
      </w:r>
      <w:r>
        <w:rPr>
          <w:i/>
          <w:iCs/>
        </w:rPr>
      </w:r>
      <w:r>
        <w:rPr>
          <w:bCs/>
          <w:i/>
        </w:rPr>
      </w:r>
    </w:p>
    <w:p>
      <w:pPr>
        <w:contextualSpacing w:val="0"/>
        <w:ind w:left="-850" w:right="-141" w:firstLine="426"/>
        <w:jc w:val="left"/>
        <w:spacing w:before="0" w:after="0" w:line="283" w:lineRule="atLeast"/>
        <w:shd w:val="clear" w:color="ffffff" w:fill="ffffff"/>
        <w:rPr>
          <w:i/>
          <w:iCs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Научные направления (секции) конференции соответствуют Исследовательским комитета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highlight w:val="white"/>
        </w:rPr>
        <w:t xml:space="preserve">м СИГРЭ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highlight w:val="white"/>
        </w:rPr>
        <w:t xml:space="preserve">(выбрать не менее 3-х направлений)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highlight w:val="white"/>
        </w:rPr>
        <w:t xml:space="preserve">:</w:t>
      </w:r>
      <w:r>
        <w:rPr>
          <w:i/>
          <w:iCs/>
          <w:highlight w:val="none"/>
        </w:rPr>
      </w:r>
      <w:r>
        <w:rPr>
          <w:i/>
          <w:iCs/>
          <w:highlight w:val="none"/>
        </w:rPr>
      </w:r>
    </w:p>
    <w:p>
      <w:pPr>
        <w:contextualSpacing w:val="0"/>
        <w:ind w:left="-850" w:right="-141" w:firstLine="426"/>
        <w:jc w:val="center"/>
        <w:spacing w:before="0" w:after="0" w:line="283" w:lineRule="atLeast"/>
        <w:shd w:val="clear" w:color="ffffff" w:fill="ffffff"/>
        <w:rPr>
          <w:b/>
          <w:bCs/>
          <w:i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/>
          <w:bCs/>
          <w:i/>
          <w:iCs/>
          <w:highlight w:val="none"/>
        </w:rPr>
        <w:t xml:space="preserve">—</w:t>
      </w:r>
      <w:r>
        <w:rPr>
          <w:b/>
          <w:bCs/>
          <w:i/>
          <w:iCs/>
          <w:highlight w:val="none"/>
        </w:rPr>
      </w:r>
      <w:r>
        <w:rPr>
          <w:b/>
          <w:bCs/>
          <w:i/>
          <w:highlight w:val="white"/>
        </w:rPr>
      </w:r>
    </w:p>
    <w:p>
      <w:pPr>
        <w:numPr>
          <w:ilvl w:val="0"/>
          <w:numId w:val="1"/>
        </w:numPr>
        <w:contextualSpacing w:val="0"/>
        <w:ind w:left="-850" w:right="0" w:firstLine="426"/>
        <w:jc w:val="left"/>
        <w:spacing w:before="0" w:after="0" w:line="283" w:lineRule="atLeast"/>
        <w:shd w:val="clear" w:color="ffffff" w:fill="ffffff"/>
        <w:rPr>
          <w:bCs w:val="0"/>
          <w:i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</w:rPr>
        <w:t xml:space="preserve"> Вращающиеся электрические машины. Турбогенераторы, гидрогенераторы, конвекционные машины и большие двигатели.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numPr>
          <w:ilvl w:val="0"/>
          <w:numId w:val="1"/>
        </w:numPr>
        <w:contextualSpacing w:val="0"/>
        <w:ind w:left="-850" w:right="0" w:firstLine="426"/>
        <w:jc w:val="left"/>
        <w:spacing w:before="0" w:after="0" w:line="283" w:lineRule="atLeast"/>
        <w:shd w:val="clear" w:color="ffffff" w:fill="ffffff"/>
        <w:rPr>
          <w:bCs w:val="0"/>
          <w:i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</w:rPr>
        <w:t xml:space="preserve"> Силовые трансформаторы и реакторы. Проектирование, производство и эксплуатация всех типов трансформаторов, их компонентов и стабилизаторов.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424" w:right="0" w:firstLine="0"/>
        <w:jc w:val="center"/>
        <w:spacing w:before="0" w:after="0" w:line="283" w:lineRule="atLeast"/>
        <w:shd w:val="clear" w:color="ffffff" w:fill="ffffff"/>
        <w:rPr>
          <w:b/>
          <w:bCs/>
          <w:i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/>
          <w:bCs/>
          <w:i w:val="0"/>
          <w:iCs w:val="0"/>
          <w:highlight w:val="none"/>
        </w:rPr>
        <w:t xml:space="preserve">—</w:t>
      </w:r>
      <w:r>
        <w:rPr>
          <w:b/>
          <w:bCs/>
          <w:i w:val="0"/>
          <w:iCs w:val="0"/>
          <w:highlight w:val="none"/>
        </w:rPr>
      </w:r>
      <w:r>
        <w:rPr>
          <w:b/>
          <w:bCs/>
          <w:i w:val="0"/>
        </w:rPr>
      </w:r>
    </w:p>
    <w:p>
      <w:pPr>
        <w:numPr>
          <w:ilvl w:val="0"/>
          <w:numId w:val="1"/>
        </w:numPr>
        <w:contextualSpacing w:val="0"/>
        <w:ind w:left="-850" w:right="0" w:firstLine="426"/>
        <w:jc w:val="left"/>
        <w:spacing w:before="0" w:after="0" w:line="283" w:lineRule="atLeast"/>
        <w:shd w:val="clear" w:color="ffffff" w:fill="ffffff"/>
        <w:rPr>
          <w:bCs w:val="0"/>
          <w:i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</w:rPr>
        <w:t xml:space="preserve"> Изолированные кабели. Подземные и подводные изолированные кабельные системы постоянного и переменного тока.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numPr>
          <w:ilvl w:val="0"/>
          <w:numId w:val="1"/>
        </w:numPr>
        <w:contextualSpacing w:val="0"/>
        <w:ind w:left="-850" w:right="0" w:firstLine="426"/>
        <w:jc w:val="left"/>
        <w:spacing w:before="0" w:after="0" w:line="283" w:lineRule="atLeast"/>
        <w:shd w:val="clear" w:color="ffffff" w:fill="ffffff"/>
        <w:rPr>
          <w:bCs w:val="0"/>
          <w:i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</w:rPr>
        <w:t xml:space="preserve"> Воздушные линии. Воздушные линии электропередачи и их компоненты, включая провода, опоры, системы фундамента и т.д.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numPr>
          <w:ilvl w:val="0"/>
          <w:numId w:val="1"/>
        </w:numPr>
        <w:contextualSpacing w:val="0"/>
        <w:ind w:left="-850" w:right="0" w:firstLine="426"/>
        <w:jc w:val="left"/>
        <w:spacing w:before="0" w:after="0" w:line="283" w:lineRule="atLeast"/>
        <w:shd w:val="clear" w:color="ffffff" w:fill="ffffff"/>
        <w:rPr>
          <w:bCs w:val="0"/>
          <w:i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</w:rPr>
        <w:t xml:space="preserve"> Подстанции и электроустановки. Строительство, эксплуатация и управление подстанций и электроустановок, исключая генераторы.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numPr>
          <w:ilvl w:val="0"/>
          <w:numId w:val="1"/>
        </w:numPr>
        <w:contextualSpacing w:val="0"/>
        <w:ind w:left="-850" w:right="0" w:firstLine="426"/>
        <w:jc w:val="left"/>
        <w:spacing w:before="0" w:after="0" w:line="283" w:lineRule="atLeast"/>
        <w:shd w:val="clear" w:color="ffffff" w:fill="ffffff"/>
        <w:rPr>
          <w:bCs w:val="0"/>
          <w:i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</w:rPr>
        <w:t xml:space="preserve"> Релейная защита и автоматика. Проектирование, эксплуатация и управление систем РЗА, технические средства, технологии векторных измерений и т.д.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424" w:right="0" w:firstLine="0"/>
        <w:jc w:val="center"/>
        <w:spacing w:before="0" w:after="0" w:line="283" w:lineRule="atLeast"/>
        <w:shd w:val="clear" w:color="ffffff" w:fill="ffffff"/>
        <w:rPr>
          <w:b/>
          <w:bCs/>
          <w:i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/>
          <w:bCs/>
          <w:i w:val="0"/>
          <w:iCs w:val="0"/>
          <w:highlight w:val="none"/>
        </w:rPr>
        <w:t xml:space="preserve">—</w:t>
      </w:r>
      <w:r>
        <w:rPr>
          <w:b/>
          <w:bCs/>
          <w:i w:val="0"/>
          <w:iCs w:val="0"/>
          <w:highlight w:val="none"/>
        </w:rPr>
      </w:r>
      <w:r>
        <w:rPr>
          <w:b/>
          <w:bCs/>
          <w:i w:val="0"/>
        </w:rPr>
      </w:r>
    </w:p>
    <w:p>
      <w:pPr>
        <w:numPr>
          <w:ilvl w:val="0"/>
          <w:numId w:val="1"/>
        </w:numPr>
        <w:contextualSpacing w:val="0"/>
        <w:ind w:left="-850" w:right="0" w:firstLine="426"/>
        <w:jc w:val="left"/>
        <w:spacing w:before="0" w:after="0" w:line="283" w:lineRule="atLeast"/>
        <w:shd w:val="clear" w:color="ffffff" w:fill="ffffff"/>
        <w:rPr>
          <w:bCs w:val="0"/>
          <w:i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</w:rPr>
        <w:t xml:space="preserve"> Планирование развития энергосистем и экономика. Экономические показатели, методы системного анализа, стратегии управления активами.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numPr>
          <w:ilvl w:val="0"/>
          <w:numId w:val="1"/>
        </w:numPr>
        <w:contextualSpacing w:val="0"/>
        <w:ind w:left="-850" w:right="0" w:firstLine="426"/>
        <w:jc w:val="left"/>
        <w:spacing w:before="0" w:after="0" w:line="283" w:lineRule="atLeast"/>
        <w:shd w:val="clear" w:color="ffffff" w:fill="ffffff"/>
        <w:rPr>
          <w:bCs w:val="0"/>
          <w:i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</w:rPr>
        <w:t xml:space="preserve"> Влияние энергетики на окружающую среду. Определение и оценка влияния энергосистем на окружающую среду.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numPr>
          <w:ilvl w:val="0"/>
          <w:numId w:val="1"/>
        </w:numPr>
        <w:contextualSpacing w:val="0"/>
        <w:ind w:left="-850" w:right="0" w:firstLine="426"/>
        <w:jc w:val="left"/>
        <w:spacing w:before="0" w:after="0" w:line="283" w:lineRule="atLeast"/>
        <w:shd w:val="clear" w:color="ffffff" w:fill="ffffff"/>
        <w:rPr>
          <w:bCs w:val="0"/>
          <w:i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</w:rPr>
        <w:t xml:space="preserve"> Информационные системы, телекоммуникации и кибербезопасность. Перспективные технологии, принципы стандартизации, технические характеристики и т.д.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                                                             Заявка 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на участие в конференции</w:t>
      </w:r>
      <w:r/>
    </w:p>
    <w:p>
      <w:pPr>
        <w:ind w:left="0" w:right="0"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Изучив Положение о молодежной научной конференции Молодежной секции РНК СИГРЭ, с условиями и требованиями Конференции ознакомлен(на, ны) и согласен(на, ны). Достоверность представленной в составе заявки информации гарантирую(ем).</w:t>
      </w:r>
      <w:r/>
    </w:p>
    <w:tbl>
      <w:tblPr>
        <w:tblStyle w:val="69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218"/>
        <w:gridCol w:w="4137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18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Фамилия, имя, отчество участника(ов)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18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организации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вуза (для студентов)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18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электронной почты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18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Телефон для связи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tabs>
          <w:tab w:val="left" w:pos="900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tabs>
          <w:tab w:val="left" w:pos="218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Приложение: </w:t>
      </w:r>
      <w:r/>
    </w:p>
    <w:p>
      <w:pPr>
        <w:numPr>
          <w:ilvl w:val="0"/>
          <w:numId w:val="2"/>
        </w:num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Доклад</w:t>
      </w:r>
      <w:r/>
    </w:p>
    <w:p>
      <w:pPr>
        <w:numPr>
          <w:ilvl w:val="0"/>
          <w:numId w:val="2"/>
        </w:num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Дополнительные материалы (перечисляются)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Дата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Подпись участника(ов)</w:t>
      </w:r>
      <w:r/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 w:val="0"/>
        </w:rPr>
        <w:suppressLineNumbers w:val="0"/>
      </w:pPr>
      <w:r>
        <w:rPr>
          <w:bCs w:val="0"/>
          <w:i w:val="0"/>
        </w:rPr>
      </w:r>
      <w:r>
        <w:rPr>
          <w:bCs w:val="0"/>
          <w:i w:val="0"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/>
          <w:i/>
        </w:rPr>
        <w:suppressLineNumbers w:val="0"/>
      </w:pPr>
      <w:r>
        <w:rPr>
          <w:bCs w:val="0"/>
          <w:i/>
          <w:iCs/>
        </w:rPr>
      </w:r>
      <w:r>
        <w:rPr>
          <w:bCs w:val="0"/>
          <w:i/>
          <w:iCs/>
        </w:rPr>
      </w:r>
    </w:p>
    <w:p>
      <w:pPr>
        <w:contextualSpacing w:val="0"/>
        <w:ind w:left="-850" w:right="0" w:firstLine="426"/>
        <w:jc w:val="left"/>
        <w:spacing w:before="0" w:after="0" w:line="283" w:lineRule="atLeast"/>
        <w:rPr>
          <w:bCs w:val="0"/>
          <w:i/>
          <w:iCs/>
          <w:u w:val="single"/>
        </w:rPr>
        <w:suppressLineNumbers w:val="0"/>
      </w:pPr>
      <w:r>
        <w:rPr>
          <w:i/>
          <w:iCs/>
        </w:rPr>
      </w:r>
      <w:r>
        <w:rPr>
          <w:bCs w:val="0"/>
          <w:i/>
          <w:iCs/>
        </w:rPr>
        <w:t xml:space="preserve">Адрес для заявок: </w:t>
      </w:r>
      <w:r>
        <w:rPr>
          <w:bCs w:val="0"/>
          <w:i/>
          <w:iCs/>
          <w:u w:val="single"/>
          <w:lang w:val="en-US"/>
        </w:rPr>
        <w:t xml:space="preserve">filatova</w:t>
      </w:r>
      <w:r>
        <w:rPr>
          <w:bCs w:val="0"/>
          <w:i/>
          <w:iCs/>
          <w:u w:val="single"/>
          <w:lang w:val="ru-RU"/>
        </w:rPr>
        <w:t xml:space="preserve">.</w:t>
      </w:r>
      <w:r>
        <w:rPr>
          <w:bCs w:val="0"/>
          <w:i/>
          <w:iCs/>
          <w:u w:val="single"/>
          <w:lang w:val="en-US"/>
        </w:rPr>
        <w:t xml:space="preserve">ga@ispu.</w:t>
      </w:r>
      <w:r>
        <w:rPr>
          <w:bCs w:val="0"/>
          <w:i/>
          <w:iCs/>
          <w:u w:val="single"/>
          <w:lang w:val="en-US"/>
        </w:rPr>
        <w:t xml:space="preserve">ru</w:t>
      </w:r>
      <w:r>
        <w:rPr>
          <w:bCs w:val="0"/>
          <w:i/>
          <w:iCs/>
          <w:u w:val="single"/>
        </w:rPr>
      </w:r>
    </w:p>
    <w:sectPr>
      <w:footnotePr/>
      <w:endnotePr/>
      <w:type w:val="nextPage"/>
      <w:pgSz w:w="11906" w:h="16838" w:orient="portrait"/>
      <w:pgMar w:top="425" w:right="850" w:bottom="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2025-08-26T09:26:49Z</dcterms:modified>
</cp:coreProperties>
</file>